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19"/>
        <w:gridCol w:w="1987"/>
        <w:gridCol w:w="2528"/>
        <w:gridCol w:w="1785"/>
        <w:gridCol w:w="930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山西能源学院2020年第二批急需紧缺专业硕士研究生招聘岗位表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学历学位要求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信息与通信工程（一级学科）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控制科学与工程（一级学科）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计算机科学与技术（一级学科）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B05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软件工程（一级学科）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网络空间安全（一级学科）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电气工程（一级学科）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石油与天然气工程（一级学科）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机械工程（一级学科）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力学（一级学科）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土木工程（一级学科）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动力工程及工程热物理（一级学科）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环境科学与工程（一级学科）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水利工程（一级学科）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会计学（二级学科）财务管理（二级学科）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体育学（一级学科）体育（专硕）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马克思主义哲学（二级学科）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中共党员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力学（一级学科）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物理学（一级学科）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电气工程（一级学科）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信息与通信工程（一级学科）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信息中心岗位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图书情报与档案管理（一级学科）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图书馆岗位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后勤保障处岗位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instrText xml:space="preserve"> = sum(B3:B25) \* MERGEFORMAT </w:instrTex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C3"/>
    <w:rsid w:val="001935C3"/>
    <w:rsid w:val="009D4E31"/>
    <w:rsid w:val="00CD1706"/>
    <w:rsid w:val="00F3379B"/>
    <w:rsid w:val="0F8D197B"/>
    <w:rsid w:val="6BC4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2020-12-30T03:57:00Z</dcterms:created>
  <dc:creator>石晓雷</dc:creator>
  <cp:lastModifiedBy>张志伟</cp:lastModifiedBy>
  <dcterms:modified xsi:type="dcterms:W3CDTF">2020-12-30T09:20:52Z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