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黑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黑体" w:eastAsia="方正仿宋简体" w:cs="黑体"/>
          <w:bCs/>
          <w:kern w:val="0"/>
          <w:sz w:val="32"/>
          <w:szCs w:val="32"/>
        </w:rPr>
        <w:t>附表2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山西能源学院2020年急需紧缺专业人才招聘报名表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296"/>
        <w:gridCol w:w="889"/>
        <w:gridCol w:w="1060"/>
        <w:gridCol w:w="1279"/>
        <w:gridCol w:w="1699"/>
        <w:gridCol w:w="567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计算机等级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特  长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普通话水平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外语水平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电子信箱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32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研究生院校类型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一流院校、一流学科及世界排名前200名国外院校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一流学科院校</w:t>
            </w:r>
          </w:p>
          <w:p>
            <w:pPr>
              <w:jc w:val="left"/>
              <w:rPr>
                <w:rFonts w:ascii="仿宋" w:hAnsi="仿宋" w:eastAsia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普通院校及世界排名200名以后国外院校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独立学院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第一学历院校类型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一流院校、一流学科及世界排名前200名国外院校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一流学科院校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普通院校及世界排名200名以后国外 院校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独立学院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联系地址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（邮编）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获奖情况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科研及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发表论文情况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在校期间担任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社会职务情况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本人签字：</w:t>
            </w:r>
          </w:p>
        </w:tc>
      </w:tr>
    </w:tbl>
    <w:p>
      <w:pPr>
        <w:ind w:left="960" w:hanging="960" w:hangingChars="4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注：1、应聘者应对自己所填报资料的真实性负责，凡有弄虚作假者，一经发现取消聘用资格。</w:t>
      </w:r>
    </w:p>
    <w:p>
      <w:pPr>
        <w:ind w:firstLine="480" w:firstLineChars="200"/>
      </w:pPr>
      <w:r>
        <w:rPr>
          <w:rFonts w:hint="eastAsia" w:ascii="仿宋" w:hAnsi="仿宋" w:eastAsia="仿宋"/>
          <w:sz w:val="24"/>
        </w:rPr>
        <w:t>2、一流学科院校是指“双一流”建设中含有一流学科的院校。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BB"/>
    <w:rsid w:val="006A47C0"/>
    <w:rsid w:val="007416D3"/>
    <w:rsid w:val="00773D33"/>
    <w:rsid w:val="009B7D6E"/>
    <w:rsid w:val="00C462BB"/>
    <w:rsid w:val="575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2020-08-14T10:28:00Z</dcterms:created>
  <dc:creator>石晓雷</dc:creator>
  <cp:lastModifiedBy>张志伟</cp:lastModifiedBy>
  <dcterms:modified xsi:type="dcterms:W3CDTF">2020-08-20T08:41:29Z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